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85" w:type="pct"/>
        <w:jc w:val="center"/>
        <w:tblInd w:w="-142" w:type="dxa"/>
        <w:tblCellMar>
          <w:top w:w="15" w:type="dxa"/>
          <w:left w:w="15" w:type="dxa"/>
          <w:bottom w:w="15" w:type="dxa"/>
          <w:right w:w="15" w:type="dxa"/>
        </w:tblCellMar>
        <w:tblLook w:val="04A0" w:firstRow="1" w:lastRow="0" w:firstColumn="1" w:lastColumn="0" w:noHBand="0" w:noVBand="1"/>
      </w:tblPr>
      <w:tblGrid>
        <w:gridCol w:w="8448"/>
      </w:tblGrid>
      <w:tr w:rsidR="00FD3133" w:rsidRPr="00FD3133" w:rsidTr="00FD3133">
        <w:trPr>
          <w:jc w:val="center"/>
        </w:trPr>
        <w:tc>
          <w:tcPr>
            <w:tcW w:w="5000" w:type="pct"/>
            <w:tcMar>
              <w:top w:w="75" w:type="dxa"/>
              <w:left w:w="0" w:type="dxa"/>
              <w:bottom w:w="45" w:type="dxa"/>
              <w:right w:w="0" w:type="dxa"/>
            </w:tcMar>
            <w:vAlign w:val="center"/>
            <w:hideMark/>
          </w:tcPr>
          <w:p w:rsidR="00FD3133" w:rsidRPr="00FD3133" w:rsidRDefault="00FD3133" w:rsidP="00FD3133">
            <w:pPr>
              <w:widowControl/>
              <w:jc w:val="center"/>
              <w:rPr>
                <w:rFonts w:ascii="微软雅黑" w:eastAsia="微软雅黑" w:hAnsi="微软雅黑" w:cs="宋体"/>
                <w:color w:val="DD0000"/>
                <w:kern w:val="0"/>
                <w:sz w:val="32"/>
                <w:szCs w:val="32"/>
              </w:rPr>
            </w:pPr>
            <w:r w:rsidRPr="00FD3133">
              <w:rPr>
                <w:rFonts w:ascii="微软雅黑" w:eastAsia="微软雅黑" w:hAnsi="微软雅黑" w:cs="宋体" w:hint="eastAsia"/>
                <w:color w:val="DD0000"/>
                <w:kern w:val="0"/>
                <w:sz w:val="32"/>
                <w:szCs w:val="32"/>
              </w:rPr>
              <w:t>陕西省地方税务局关于在全省开展个人所得税专项检查的通告</w:t>
            </w:r>
          </w:p>
        </w:tc>
      </w:tr>
      <w:tr w:rsidR="00FD3133" w:rsidRPr="00FD3133" w:rsidTr="00FD3133">
        <w:trPr>
          <w:jc w:val="center"/>
        </w:trPr>
        <w:tc>
          <w:tcPr>
            <w:tcW w:w="5000" w:type="pct"/>
            <w:vAlign w:val="center"/>
            <w:hideMark/>
          </w:tcPr>
          <w:p w:rsidR="00FD3133" w:rsidRPr="00FD3133" w:rsidRDefault="00FD3133" w:rsidP="00FD3133">
            <w:pPr>
              <w:widowControl/>
              <w:jc w:val="center"/>
              <w:rPr>
                <w:rFonts w:ascii="宋体" w:eastAsia="宋体" w:hAnsi="宋体" w:cs="宋体"/>
                <w:color w:val="333333"/>
                <w:kern w:val="0"/>
                <w:sz w:val="18"/>
                <w:szCs w:val="18"/>
              </w:rPr>
            </w:pPr>
            <w:r>
              <w:rPr>
                <w:rFonts w:ascii="宋体" w:eastAsia="宋体" w:hAnsi="宋体" w:cs="宋体"/>
                <w:noProof/>
                <w:color w:val="333333"/>
                <w:kern w:val="0"/>
                <w:sz w:val="18"/>
                <w:szCs w:val="18"/>
              </w:rPr>
              <w:drawing>
                <wp:inline distT="0" distB="0" distL="0" distR="0">
                  <wp:extent cx="7620000" cy="19050"/>
                  <wp:effectExtent l="19050" t="0" r="0" b="0"/>
                  <wp:docPr id="1" name="图片 1" descr="http://www.snds.gov.cn/skin/style/sxdsnew/images-snds-091/style-nrpage-01/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nds.gov.cn/skin/style/sxdsnew/images-snds-091/style-nrpage-01/line.gif"/>
                          <pic:cNvPicPr>
                            <a:picLocks noChangeAspect="1" noChangeArrowheads="1"/>
                          </pic:cNvPicPr>
                        </pic:nvPicPr>
                        <pic:blipFill>
                          <a:blip r:embed="rId7" cstate="print"/>
                          <a:srcRect/>
                          <a:stretch>
                            <a:fillRect/>
                          </a:stretch>
                        </pic:blipFill>
                        <pic:spPr bwMode="auto">
                          <a:xfrm>
                            <a:off x="0" y="0"/>
                            <a:ext cx="7620000" cy="19050"/>
                          </a:xfrm>
                          <a:prstGeom prst="rect">
                            <a:avLst/>
                          </a:prstGeom>
                          <a:noFill/>
                          <a:ln w="9525">
                            <a:noFill/>
                            <a:miter lim="800000"/>
                            <a:headEnd/>
                            <a:tailEnd/>
                          </a:ln>
                        </pic:spPr>
                      </pic:pic>
                    </a:graphicData>
                  </a:graphic>
                </wp:inline>
              </w:drawing>
            </w:r>
          </w:p>
        </w:tc>
        <w:bookmarkStart w:id="0" w:name="_GoBack"/>
        <w:bookmarkEnd w:id="0"/>
      </w:tr>
      <w:tr w:rsidR="00FD3133" w:rsidRPr="00FD3133" w:rsidTr="00FD3133">
        <w:trPr>
          <w:trHeight w:val="600"/>
          <w:jc w:val="center"/>
        </w:trPr>
        <w:tc>
          <w:tcPr>
            <w:tcW w:w="5000" w:type="pct"/>
            <w:tcMar>
              <w:top w:w="60" w:type="dxa"/>
              <w:left w:w="15" w:type="dxa"/>
              <w:bottom w:w="30" w:type="dxa"/>
              <w:right w:w="15" w:type="dxa"/>
            </w:tcMar>
            <w:vAlign w:val="center"/>
            <w:hideMark/>
          </w:tcPr>
          <w:p w:rsidR="00FD3133" w:rsidRPr="00FD3133" w:rsidRDefault="00FD3133" w:rsidP="00497FCC">
            <w:pPr>
              <w:widowControl/>
              <w:rPr>
                <w:rFonts w:ascii="宋体" w:eastAsia="宋体" w:hAnsi="宋体" w:cs="宋体"/>
                <w:color w:val="666666"/>
                <w:kern w:val="0"/>
                <w:sz w:val="18"/>
                <w:szCs w:val="18"/>
              </w:rPr>
            </w:pPr>
          </w:p>
        </w:tc>
      </w:tr>
      <w:tr w:rsidR="00FD3133" w:rsidRPr="00FD3133" w:rsidTr="00FD3133">
        <w:trPr>
          <w:jc w:val="center"/>
        </w:trPr>
        <w:tc>
          <w:tcPr>
            <w:tcW w:w="5000" w:type="pct"/>
            <w:vAlign w:val="center"/>
            <w:hideMark/>
          </w:tcPr>
          <w:p w:rsidR="00FD3133" w:rsidRPr="00FD3133" w:rsidRDefault="00FD3133" w:rsidP="00497FCC">
            <w:pPr>
              <w:widowControl/>
              <w:rPr>
                <w:rFonts w:ascii="宋体" w:eastAsia="宋体" w:hAnsi="宋体" w:cs="宋体"/>
                <w:color w:val="333333"/>
                <w:kern w:val="0"/>
                <w:sz w:val="18"/>
                <w:szCs w:val="18"/>
              </w:rPr>
            </w:pPr>
          </w:p>
        </w:tc>
      </w:tr>
      <w:tr w:rsidR="00FD3133" w:rsidRPr="00FD3133" w:rsidTr="00FD3133">
        <w:trPr>
          <w:jc w:val="center"/>
        </w:trPr>
        <w:tc>
          <w:tcPr>
            <w:tcW w:w="5000" w:type="pct"/>
            <w:vAlign w:val="center"/>
            <w:hideMark/>
          </w:tcPr>
          <w:p w:rsidR="00FD3133" w:rsidRPr="00FD3133" w:rsidRDefault="00FD3133" w:rsidP="00FD3133">
            <w:pPr>
              <w:widowControl/>
              <w:spacing w:before="100" w:beforeAutospacing="1" w:after="100" w:afterAutospacing="1" w:line="432" w:lineRule="auto"/>
              <w:jc w:val="center"/>
              <w:rPr>
                <w:rFonts w:ascii="宋体" w:eastAsia="宋体" w:hAnsi="宋体" w:cs="宋体"/>
                <w:color w:val="111111"/>
                <w:kern w:val="0"/>
                <w:sz w:val="24"/>
                <w:szCs w:val="24"/>
              </w:rPr>
            </w:pPr>
            <w:r w:rsidRPr="00FD3133">
              <w:rPr>
                <w:rFonts w:ascii="宋体" w:eastAsia="宋体" w:hAnsi="宋体" w:cs="宋体" w:hint="eastAsia"/>
                <w:b/>
                <w:bCs/>
                <w:color w:val="FF0000"/>
                <w:kern w:val="0"/>
                <w:sz w:val="24"/>
                <w:szCs w:val="24"/>
              </w:rPr>
              <w:t xml:space="preserve">陕西省地方税务局通告 </w:t>
            </w:r>
            <w:r w:rsidRPr="00FD3133">
              <w:rPr>
                <w:rFonts w:ascii="宋体" w:eastAsia="宋体" w:hAnsi="宋体" w:cs="宋体" w:hint="eastAsia"/>
                <w:b/>
                <w:bCs/>
                <w:color w:val="FF0000"/>
                <w:kern w:val="0"/>
                <w:sz w:val="24"/>
                <w:szCs w:val="24"/>
              </w:rPr>
              <w:br/>
              <w:t xml:space="preserve">                               </w:t>
            </w:r>
            <w:r w:rsidRPr="00FD3133">
              <w:rPr>
                <w:rFonts w:ascii="宋体" w:eastAsia="宋体" w:hAnsi="宋体" w:cs="宋体" w:hint="eastAsia"/>
                <w:color w:val="111111"/>
                <w:kern w:val="0"/>
                <w:sz w:val="24"/>
                <w:szCs w:val="24"/>
              </w:rPr>
              <w:t xml:space="preserve">2014年第2号 </w:t>
            </w:r>
            <w:r w:rsidRPr="00FD3133">
              <w:rPr>
                <w:rFonts w:ascii="宋体" w:eastAsia="宋体" w:hAnsi="宋体" w:cs="宋体" w:hint="eastAsia"/>
                <w:color w:val="111111"/>
                <w:kern w:val="0"/>
                <w:sz w:val="24"/>
                <w:szCs w:val="24"/>
              </w:rPr>
              <w:br/>
            </w:r>
            <w:r w:rsidRPr="00FD3133">
              <w:rPr>
                <w:rFonts w:ascii="宋体" w:eastAsia="宋体" w:hAnsi="宋体" w:cs="宋体" w:hint="eastAsia"/>
                <w:b/>
                <w:bCs/>
                <w:color w:val="111111"/>
                <w:kern w:val="0"/>
                <w:sz w:val="24"/>
                <w:szCs w:val="24"/>
              </w:rPr>
              <w:t xml:space="preserve">陕西省地方税务局关于在全省开展 </w:t>
            </w:r>
            <w:r w:rsidRPr="00FD3133">
              <w:rPr>
                <w:rFonts w:ascii="宋体" w:eastAsia="宋体" w:hAnsi="宋体" w:cs="宋体" w:hint="eastAsia"/>
                <w:b/>
                <w:bCs/>
                <w:color w:val="111111"/>
                <w:kern w:val="0"/>
                <w:sz w:val="24"/>
                <w:szCs w:val="24"/>
              </w:rPr>
              <w:br/>
              <w:t>个人所得税专项检查的通告</w:t>
            </w:r>
          </w:p>
          <w:p w:rsidR="00FD3133" w:rsidRPr="00FD3133" w:rsidRDefault="00FD3133" w:rsidP="00FD3133">
            <w:pPr>
              <w:widowControl/>
              <w:spacing w:before="100" w:beforeAutospacing="1" w:after="100" w:afterAutospacing="1" w:line="360" w:lineRule="auto"/>
              <w:ind w:firstLineChars="200" w:firstLine="480"/>
              <w:rPr>
                <w:rFonts w:ascii="宋体" w:eastAsia="宋体" w:hAnsi="宋体" w:cs="宋体"/>
                <w:color w:val="111111"/>
                <w:kern w:val="0"/>
                <w:sz w:val="24"/>
                <w:szCs w:val="24"/>
              </w:rPr>
            </w:pPr>
            <w:r w:rsidRPr="00FD3133">
              <w:rPr>
                <w:rFonts w:ascii="宋体" w:eastAsia="宋体" w:hAnsi="宋体" w:cs="宋体" w:hint="eastAsia"/>
                <w:color w:val="111111"/>
                <w:kern w:val="0"/>
                <w:sz w:val="24"/>
                <w:szCs w:val="24"/>
              </w:rPr>
              <w:t xml:space="preserve">为进一步加强我省个人所得税管理工作，根据《中华人民共和国个人所得税法》、《中华人民共和国税收征收管理法》有关规定，决定在全省范围内开展个人所得税专项检查活动。现将有关事项通告如下： </w:t>
            </w:r>
            <w:r w:rsidRPr="00FD3133">
              <w:rPr>
                <w:rFonts w:ascii="宋体" w:eastAsia="宋体" w:hAnsi="宋体" w:cs="宋体" w:hint="eastAsia"/>
                <w:color w:val="111111"/>
                <w:kern w:val="0"/>
                <w:sz w:val="24"/>
                <w:szCs w:val="24"/>
              </w:rPr>
              <w:br/>
              <w:t xml:space="preserve">      一、检查范围和对象 </w:t>
            </w:r>
            <w:r w:rsidRPr="00FD3133">
              <w:rPr>
                <w:rFonts w:ascii="宋体" w:eastAsia="宋体" w:hAnsi="宋体" w:cs="宋体" w:hint="eastAsia"/>
                <w:color w:val="111111"/>
                <w:kern w:val="0"/>
                <w:sz w:val="24"/>
                <w:szCs w:val="24"/>
              </w:rPr>
              <w:br/>
              <w:t xml:space="preserve">    （一）检查对象：所有承担个人所得税代扣代缴义务的单位，包括公司、行政机关（含党政群机关）、事业单位、社会团体、基金会、民办非企业单位、规模较大的个体工商户、个人独资企业和合伙企业等各类法人和非法人组织；按税法规定需自行申报的个人所得税纳税人。 </w:t>
            </w:r>
            <w:r w:rsidRPr="00FD3133">
              <w:rPr>
                <w:rFonts w:ascii="宋体" w:eastAsia="宋体" w:hAnsi="宋体" w:cs="宋体" w:hint="eastAsia"/>
                <w:color w:val="111111"/>
                <w:kern w:val="0"/>
                <w:sz w:val="24"/>
                <w:szCs w:val="24"/>
              </w:rPr>
              <w:br/>
              <w:t xml:space="preserve">    （二）检查范围：2011年至2013年度向本单位工作人员发放的工资薪金所得以及向个人支付的其他应税所得代扣代缴个人所得税情况；个人所得税自行申报情况。 </w:t>
            </w:r>
            <w:r w:rsidRPr="00FD3133">
              <w:rPr>
                <w:rFonts w:ascii="宋体" w:eastAsia="宋体" w:hAnsi="宋体" w:cs="宋体" w:hint="eastAsia"/>
                <w:color w:val="111111"/>
                <w:kern w:val="0"/>
                <w:sz w:val="24"/>
                <w:szCs w:val="24"/>
              </w:rPr>
              <w:br/>
              <w:t xml:space="preserve">     二、时间安排 </w:t>
            </w:r>
            <w:r w:rsidRPr="00FD3133">
              <w:rPr>
                <w:rFonts w:ascii="宋体" w:eastAsia="宋体" w:hAnsi="宋体" w:cs="宋体" w:hint="eastAsia"/>
                <w:color w:val="111111"/>
                <w:kern w:val="0"/>
                <w:sz w:val="24"/>
                <w:szCs w:val="24"/>
              </w:rPr>
              <w:br/>
              <w:t xml:space="preserve">    （一）宣传发动阶段（7月15日-7月31日）。宣传《中华人民共和国个人所得税法》、《中华人民共和国税收征收管理法》等税收法律、法规和规章。 </w:t>
            </w:r>
            <w:r w:rsidRPr="00FD3133">
              <w:rPr>
                <w:rFonts w:ascii="宋体" w:eastAsia="宋体" w:hAnsi="宋体" w:cs="宋体" w:hint="eastAsia"/>
                <w:color w:val="111111"/>
                <w:kern w:val="0"/>
                <w:sz w:val="24"/>
                <w:szCs w:val="24"/>
              </w:rPr>
              <w:br/>
              <w:t xml:space="preserve">    （二）自查自纠阶段（8月1日-9月15日）。各单位按规定认真对照自查，并于9月15日前将应补缴税款并入月度申报向主管税务机关解缴入库。 </w:t>
            </w:r>
            <w:r w:rsidRPr="00FD3133">
              <w:rPr>
                <w:rFonts w:ascii="宋体" w:eastAsia="宋体" w:hAnsi="宋体" w:cs="宋体" w:hint="eastAsia"/>
                <w:color w:val="111111"/>
                <w:kern w:val="0"/>
                <w:sz w:val="24"/>
                <w:szCs w:val="24"/>
              </w:rPr>
              <w:br/>
              <w:t xml:space="preserve">    （三）重点检查阶段（9月16日-11月30日）。依据各单位自查申报的情况，由地税机关进行风险识别后，确认中、高风险单位，按计划进行重点检查。重点检查阶段查实的，将严格按《中华人民共和国税收征收管理法》的有关规定予以</w:t>
            </w:r>
            <w:r w:rsidRPr="00FD3133">
              <w:rPr>
                <w:rFonts w:ascii="宋体" w:eastAsia="宋体" w:hAnsi="宋体" w:cs="宋体" w:hint="eastAsia"/>
                <w:color w:val="111111"/>
                <w:kern w:val="0"/>
                <w:sz w:val="24"/>
                <w:szCs w:val="24"/>
              </w:rPr>
              <w:lastRenderedPageBreak/>
              <w:t xml:space="preserve">处理；涉嫌犯罪的，将移送司法机关处理。 </w:t>
            </w:r>
            <w:r w:rsidRPr="00FD3133">
              <w:rPr>
                <w:rFonts w:ascii="宋体" w:eastAsia="宋体" w:hAnsi="宋体" w:cs="宋体" w:hint="eastAsia"/>
                <w:color w:val="111111"/>
                <w:kern w:val="0"/>
                <w:sz w:val="24"/>
                <w:szCs w:val="24"/>
              </w:rPr>
              <w:br/>
              <w:t xml:space="preserve">    各有关单位和个人可从陕西省地方税务局网站（</w:t>
            </w:r>
            <w:hyperlink r:id="rId8" w:history="1">
              <w:r w:rsidRPr="00FD3133">
                <w:rPr>
                  <w:rFonts w:ascii="宋体" w:eastAsia="宋体" w:hAnsi="宋体" w:cs="宋体" w:hint="eastAsia"/>
                  <w:color w:val="333333"/>
                  <w:kern w:val="0"/>
                  <w:sz w:val="24"/>
                  <w:szCs w:val="24"/>
                </w:rPr>
                <w:t>http://www.snds.gov.cn</w:t>
              </w:r>
            </w:hyperlink>
            <w:r w:rsidRPr="00FD3133">
              <w:rPr>
                <w:rFonts w:ascii="宋体" w:eastAsia="宋体" w:hAnsi="宋体" w:cs="宋体" w:hint="eastAsia"/>
                <w:color w:val="111111"/>
                <w:kern w:val="0"/>
                <w:sz w:val="24"/>
                <w:szCs w:val="24"/>
              </w:rPr>
              <w:t xml:space="preserve">）下载《陕西省地方税务局扣缴义务人个人所得税扣缴自查报告表》、《陕西省地方税务局个人所得税自行申报自查报告表》或者及时到主管地税机关领取。 </w:t>
            </w:r>
            <w:r w:rsidRPr="00FD3133">
              <w:rPr>
                <w:rFonts w:ascii="宋体" w:eastAsia="宋体" w:hAnsi="宋体" w:cs="宋体" w:hint="eastAsia"/>
                <w:color w:val="111111"/>
                <w:kern w:val="0"/>
                <w:sz w:val="24"/>
                <w:szCs w:val="24"/>
              </w:rPr>
              <w:br/>
              <w:t xml:space="preserve">特此通告。 </w:t>
            </w:r>
            <w:r w:rsidRPr="00FD3133">
              <w:rPr>
                <w:rFonts w:ascii="宋体" w:eastAsia="宋体" w:hAnsi="宋体" w:cs="宋体" w:hint="eastAsia"/>
                <w:color w:val="111111"/>
                <w:kern w:val="0"/>
                <w:sz w:val="24"/>
                <w:szCs w:val="24"/>
              </w:rPr>
              <w:br/>
            </w:r>
          </w:p>
          <w:p w:rsidR="00FD3133" w:rsidRPr="00FD3133" w:rsidRDefault="00FD3133" w:rsidP="00FD3133">
            <w:pPr>
              <w:widowControl/>
              <w:spacing w:before="100" w:beforeAutospacing="1" w:after="240" w:line="432" w:lineRule="auto"/>
              <w:jc w:val="right"/>
              <w:rPr>
                <w:rFonts w:ascii="宋体" w:eastAsia="宋体" w:hAnsi="宋体" w:cs="宋体"/>
                <w:color w:val="111111"/>
                <w:kern w:val="0"/>
                <w:sz w:val="24"/>
                <w:szCs w:val="24"/>
              </w:rPr>
            </w:pPr>
            <w:r w:rsidRPr="00FD3133">
              <w:rPr>
                <w:rFonts w:ascii="宋体" w:eastAsia="宋体" w:hAnsi="宋体" w:cs="宋体" w:hint="eastAsia"/>
                <w:color w:val="111111"/>
                <w:kern w:val="0"/>
                <w:sz w:val="24"/>
                <w:szCs w:val="24"/>
              </w:rPr>
              <w:t xml:space="preserve">陕西省地方税务局 </w:t>
            </w:r>
            <w:r w:rsidRPr="00FD3133">
              <w:rPr>
                <w:rFonts w:ascii="宋体" w:eastAsia="宋体" w:hAnsi="宋体" w:cs="宋体" w:hint="eastAsia"/>
                <w:color w:val="111111"/>
                <w:kern w:val="0"/>
                <w:sz w:val="24"/>
                <w:szCs w:val="24"/>
              </w:rPr>
              <w:br/>
              <w:t>2014年7月4日  </w:t>
            </w:r>
            <w:r w:rsidRPr="00FD3133">
              <w:rPr>
                <w:rFonts w:ascii="宋体" w:eastAsia="宋体" w:hAnsi="宋体" w:cs="宋体" w:hint="eastAsia"/>
                <w:color w:val="111111"/>
                <w:kern w:val="0"/>
                <w:sz w:val="24"/>
                <w:szCs w:val="24"/>
              </w:rPr>
              <w:br/>
            </w:r>
            <w:r w:rsidRPr="00FD3133">
              <w:rPr>
                <w:rFonts w:ascii="宋体" w:eastAsia="宋体" w:hAnsi="宋体" w:cs="宋体" w:hint="eastAsia"/>
                <w:color w:val="111111"/>
                <w:kern w:val="0"/>
                <w:sz w:val="24"/>
                <w:szCs w:val="24"/>
              </w:rPr>
              <w:br/>
            </w:r>
            <w:r w:rsidRPr="00FD3133">
              <w:rPr>
                <w:rFonts w:ascii="宋体" w:eastAsia="宋体" w:hAnsi="宋体" w:cs="宋体" w:hint="eastAsia"/>
                <w:color w:val="111111"/>
                <w:kern w:val="0"/>
                <w:sz w:val="24"/>
                <w:szCs w:val="24"/>
              </w:rPr>
              <w:br/>
            </w:r>
            <w:r w:rsidRPr="00FD3133">
              <w:rPr>
                <w:rFonts w:ascii="宋体" w:eastAsia="宋体" w:hAnsi="宋体" w:cs="宋体" w:hint="eastAsia"/>
                <w:color w:val="111111"/>
                <w:kern w:val="0"/>
                <w:sz w:val="24"/>
                <w:szCs w:val="24"/>
              </w:rPr>
              <w:br/>
            </w:r>
            <w:r w:rsidRPr="00FD3133">
              <w:rPr>
                <w:rFonts w:ascii="宋体" w:eastAsia="宋体" w:hAnsi="宋体" w:cs="宋体" w:hint="eastAsia"/>
                <w:color w:val="111111"/>
                <w:kern w:val="0"/>
                <w:sz w:val="24"/>
                <w:szCs w:val="24"/>
              </w:rPr>
              <w:br/>
            </w:r>
            <w:r w:rsidRPr="00FD3133">
              <w:rPr>
                <w:rFonts w:ascii="宋体" w:eastAsia="宋体" w:hAnsi="宋体" w:cs="宋体" w:hint="eastAsia"/>
                <w:color w:val="111111"/>
                <w:kern w:val="0"/>
                <w:sz w:val="24"/>
                <w:szCs w:val="24"/>
              </w:rPr>
              <w:br/>
            </w:r>
            <w:r w:rsidRPr="00FD3133">
              <w:rPr>
                <w:rFonts w:ascii="宋体" w:eastAsia="宋体" w:hAnsi="宋体" w:cs="宋体" w:hint="eastAsia"/>
                <w:color w:val="111111"/>
                <w:kern w:val="0"/>
                <w:sz w:val="24"/>
                <w:szCs w:val="24"/>
              </w:rPr>
              <w:br/>
            </w:r>
            <w:r w:rsidRPr="00FD3133">
              <w:rPr>
                <w:rFonts w:ascii="宋体" w:eastAsia="宋体" w:hAnsi="宋体" w:cs="宋体" w:hint="eastAsia"/>
                <w:color w:val="111111"/>
                <w:kern w:val="0"/>
                <w:sz w:val="24"/>
                <w:szCs w:val="24"/>
              </w:rPr>
              <w:br/>
            </w:r>
            <w:r w:rsidRPr="00FD3133">
              <w:rPr>
                <w:rFonts w:ascii="宋体" w:eastAsia="宋体" w:hAnsi="宋体" w:cs="宋体" w:hint="eastAsia"/>
                <w:color w:val="111111"/>
                <w:kern w:val="0"/>
                <w:sz w:val="24"/>
                <w:szCs w:val="24"/>
              </w:rPr>
              <w:br/>
            </w:r>
            <w:r w:rsidRPr="00FD3133">
              <w:rPr>
                <w:rFonts w:ascii="宋体" w:eastAsia="宋体" w:hAnsi="宋体" w:cs="宋体" w:hint="eastAsia"/>
                <w:color w:val="111111"/>
                <w:kern w:val="0"/>
                <w:sz w:val="24"/>
                <w:szCs w:val="24"/>
              </w:rPr>
              <w:br/>
            </w:r>
            <w:r w:rsidRPr="00FD3133">
              <w:rPr>
                <w:rFonts w:ascii="宋体" w:eastAsia="宋体" w:hAnsi="宋体" w:cs="宋体" w:hint="eastAsia"/>
                <w:color w:val="111111"/>
                <w:kern w:val="0"/>
                <w:sz w:val="24"/>
                <w:szCs w:val="24"/>
              </w:rPr>
              <w:br/>
            </w:r>
            <w:r w:rsidRPr="00FD3133">
              <w:rPr>
                <w:rFonts w:ascii="宋体" w:eastAsia="宋体" w:hAnsi="宋体" w:cs="宋体" w:hint="eastAsia"/>
                <w:color w:val="111111"/>
                <w:kern w:val="0"/>
                <w:sz w:val="24"/>
                <w:szCs w:val="24"/>
              </w:rPr>
              <w:br/>
            </w:r>
            <w:r w:rsidRPr="00FD3133">
              <w:rPr>
                <w:rFonts w:ascii="宋体" w:eastAsia="宋体" w:hAnsi="宋体" w:cs="宋体" w:hint="eastAsia"/>
                <w:color w:val="111111"/>
                <w:kern w:val="0"/>
                <w:sz w:val="24"/>
                <w:szCs w:val="24"/>
              </w:rPr>
              <w:br/>
            </w:r>
            <w:r w:rsidRPr="00FD3133">
              <w:rPr>
                <w:rFonts w:ascii="宋体" w:eastAsia="宋体" w:hAnsi="宋体" w:cs="宋体" w:hint="eastAsia"/>
                <w:color w:val="111111"/>
                <w:kern w:val="0"/>
                <w:sz w:val="24"/>
                <w:szCs w:val="24"/>
              </w:rPr>
              <w:br/>
              <w:t xml:space="preserve">分送：各设区市、杨凌示范区、韩城市地方税务局，省地方税务局各直 </w:t>
            </w:r>
            <w:r w:rsidRPr="00FD3133">
              <w:rPr>
                <w:rFonts w:ascii="宋体" w:eastAsia="宋体" w:hAnsi="宋体" w:cs="宋体" w:hint="eastAsia"/>
                <w:color w:val="111111"/>
                <w:kern w:val="0"/>
                <w:sz w:val="24"/>
                <w:szCs w:val="24"/>
              </w:rPr>
              <w:br/>
              <w:t>属机构。</w:t>
            </w:r>
            <w:r w:rsidR="004D4687">
              <w:rPr>
                <w:rFonts w:ascii="宋体" w:eastAsia="宋体" w:hAnsi="宋体" w:cs="宋体" w:hint="eastAsia"/>
                <w:color w:val="111111"/>
                <w:kern w:val="0"/>
                <w:sz w:val="24"/>
                <w:szCs w:val="24"/>
              </w:rPr>
              <w:t xml:space="preserve"> </w:t>
            </w:r>
            <w:r w:rsidRPr="00FD3133">
              <w:rPr>
                <w:rFonts w:ascii="宋体" w:eastAsia="宋体" w:hAnsi="宋体" w:cs="宋体" w:hint="eastAsia"/>
                <w:color w:val="111111"/>
                <w:kern w:val="0"/>
                <w:sz w:val="24"/>
                <w:szCs w:val="24"/>
              </w:rPr>
              <w:t xml:space="preserve">陕西省地方税务局所得税处承办 办公室2014年5月19日印发 </w:t>
            </w:r>
          </w:p>
        </w:tc>
      </w:tr>
    </w:tbl>
    <w:p w:rsidR="00C30E8B" w:rsidRPr="00FD3133" w:rsidRDefault="00C30E8B" w:rsidP="004D4687">
      <w:pPr>
        <w:rPr>
          <w:sz w:val="24"/>
          <w:szCs w:val="24"/>
        </w:rPr>
      </w:pPr>
    </w:p>
    <w:sectPr w:rsidR="00C30E8B" w:rsidRPr="00FD3133" w:rsidSect="00C8129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415D" w:rsidRDefault="0006415D" w:rsidP="00FD3133">
      <w:r>
        <w:separator/>
      </w:r>
    </w:p>
  </w:endnote>
  <w:endnote w:type="continuationSeparator" w:id="0">
    <w:p w:rsidR="0006415D" w:rsidRDefault="0006415D" w:rsidP="00FD3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80000000" w:usb2="00000008"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415D" w:rsidRDefault="0006415D" w:rsidP="00FD3133">
      <w:r>
        <w:separator/>
      </w:r>
    </w:p>
  </w:footnote>
  <w:footnote w:type="continuationSeparator" w:id="0">
    <w:p w:rsidR="0006415D" w:rsidRDefault="0006415D" w:rsidP="00FD31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D3133"/>
    <w:rsid w:val="0006415D"/>
    <w:rsid w:val="00497FCC"/>
    <w:rsid w:val="004D4687"/>
    <w:rsid w:val="00C30E8B"/>
    <w:rsid w:val="00C468EA"/>
    <w:rsid w:val="00C81291"/>
    <w:rsid w:val="00FD31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129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D313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D3133"/>
    <w:rPr>
      <w:sz w:val="18"/>
      <w:szCs w:val="18"/>
    </w:rPr>
  </w:style>
  <w:style w:type="paragraph" w:styleId="a4">
    <w:name w:val="footer"/>
    <w:basedOn w:val="a"/>
    <w:link w:val="Char0"/>
    <w:uiPriority w:val="99"/>
    <w:unhideWhenUsed/>
    <w:rsid w:val="00FD3133"/>
    <w:pPr>
      <w:tabs>
        <w:tab w:val="center" w:pos="4153"/>
        <w:tab w:val="right" w:pos="8306"/>
      </w:tabs>
      <w:snapToGrid w:val="0"/>
      <w:jc w:val="left"/>
    </w:pPr>
    <w:rPr>
      <w:sz w:val="18"/>
      <w:szCs w:val="18"/>
    </w:rPr>
  </w:style>
  <w:style w:type="character" w:customStyle="1" w:styleId="Char0">
    <w:name w:val="页脚 Char"/>
    <w:basedOn w:val="a0"/>
    <w:link w:val="a4"/>
    <w:uiPriority w:val="99"/>
    <w:rsid w:val="00FD3133"/>
    <w:rPr>
      <w:sz w:val="18"/>
      <w:szCs w:val="18"/>
    </w:rPr>
  </w:style>
  <w:style w:type="character" w:styleId="a5">
    <w:name w:val="Hyperlink"/>
    <w:basedOn w:val="a0"/>
    <w:uiPriority w:val="99"/>
    <w:semiHidden/>
    <w:unhideWhenUsed/>
    <w:rsid w:val="00FD3133"/>
    <w:rPr>
      <w:strike w:val="0"/>
      <w:dstrike w:val="0"/>
      <w:color w:val="333333"/>
      <w:sz w:val="18"/>
      <w:szCs w:val="18"/>
      <w:u w:val="none"/>
      <w:effect w:val="none"/>
    </w:rPr>
  </w:style>
  <w:style w:type="paragraph" w:styleId="a6">
    <w:name w:val="Normal (Web)"/>
    <w:basedOn w:val="a"/>
    <w:uiPriority w:val="99"/>
    <w:unhideWhenUsed/>
    <w:rsid w:val="00FD3133"/>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FD3133"/>
    <w:rPr>
      <w:b/>
      <w:bCs/>
    </w:rPr>
  </w:style>
  <w:style w:type="paragraph" w:styleId="a8">
    <w:name w:val="Balloon Text"/>
    <w:basedOn w:val="a"/>
    <w:link w:val="Char1"/>
    <w:uiPriority w:val="99"/>
    <w:semiHidden/>
    <w:unhideWhenUsed/>
    <w:rsid w:val="00FD3133"/>
    <w:rPr>
      <w:sz w:val="18"/>
      <w:szCs w:val="18"/>
    </w:rPr>
  </w:style>
  <w:style w:type="character" w:customStyle="1" w:styleId="Char1">
    <w:name w:val="批注框文本 Char"/>
    <w:basedOn w:val="a0"/>
    <w:link w:val="a8"/>
    <w:uiPriority w:val="99"/>
    <w:semiHidden/>
    <w:rsid w:val="00FD313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6635062">
      <w:bodyDiv w:val="1"/>
      <w:marLeft w:val="0"/>
      <w:marRight w:val="0"/>
      <w:marTop w:val="0"/>
      <w:marBottom w:val="0"/>
      <w:divBdr>
        <w:top w:val="none" w:sz="0" w:space="0" w:color="auto"/>
        <w:left w:val="none" w:sz="0" w:space="0" w:color="auto"/>
        <w:bottom w:val="none" w:sz="0" w:space="0" w:color="auto"/>
        <w:right w:val="none" w:sz="0" w:space="0" w:color="auto"/>
      </w:divBdr>
      <w:divsChild>
        <w:div w:id="1928806968">
          <w:marLeft w:val="0"/>
          <w:marRight w:val="0"/>
          <w:marTop w:val="0"/>
          <w:marBottom w:val="0"/>
          <w:divBdr>
            <w:top w:val="none" w:sz="0" w:space="0" w:color="auto"/>
            <w:left w:val="none" w:sz="0" w:space="0" w:color="auto"/>
            <w:bottom w:val="none" w:sz="0" w:space="0" w:color="auto"/>
            <w:right w:val="none" w:sz="0" w:space="0" w:color="auto"/>
          </w:divBdr>
          <w:divsChild>
            <w:div w:id="1154293625">
              <w:marLeft w:val="0"/>
              <w:marRight w:val="0"/>
              <w:marTop w:val="0"/>
              <w:marBottom w:val="0"/>
              <w:divBdr>
                <w:top w:val="none" w:sz="0" w:space="0" w:color="auto"/>
                <w:left w:val="none" w:sz="0" w:space="0" w:color="auto"/>
                <w:bottom w:val="none" w:sz="0" w:space="0" w:color="auto"/>
                <w:right w:val="none" w:sz="0" w:space="0" w:color="auto"/>
              </w:divBdr>
              <w:divsChild>
                <w:div w:id="1726219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nds.gov.cn" TargetMode="External"/><Relationship Id="rId3" Type="http://schemas.openxmlformats.org/officeDocument/2006/relationships/settings" Target="settings.xml"/><Relationship Id="rId7" Type="http://schemas.openxmlformats.org/officeDocument/2006/relationships/image" Target="media/image1.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149</Words>
  <Characters>852</Characters>
  <Application>Microsoft Office Word</Application>
  <DocSecurity>0</DocSecurity>
  <Lines>7</Lines>
  <Paragraphs>1</Paragraphs>
  <ScaleCrop>false</ScaleCrop>
  <Company>微软中国</Company>
  <LinksUpToDate>false</LinksUpToDate>
  <CharactersWithSpaces>1000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4</cp:revision>
  <dcterms:created xsi:type="dcterms:W3CDTF">2014-07-17T03:09:00Z</dcterms:created>
  <dcterms:modified xsi:type="dcterms:W3CDTF">2014-08-14T01:55:00Z</dcterms:modified>
</cp:coreProperties>
</file>